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34" w:rsidRPr="000B000E" w:rsidRDefault="00FD1A34" w:rsidP="00FD1A34">
      <w:pPr>
        <w:spacing w:after="200" w:line="276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  <w:r>
        <w:rPr>
          <w:rFonts w:ascii="Calibri" w:eastAsia="Calibri" w:hAnsi="Calibri" w:cs="Times New Roman"/>
          <w:b/>
          <w:sz w:val="44"/>
          <w:szCs w:val="44"/>
        </w:rPr>
        <w:t>1E-1</w:t>
      </w:r>
    </w:p>
    <w:p w:rsidR="00FD1A34" w:rsidRPr="00A369DF" w:rsidRDefault="00FD1A34" w:rsidP="00FD1A34">
      <w:pPr>
        <w:spacing w:after="200" w:line="276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A369DF">
        <w:rPr>
          <w:rFonts w:asciiTheme="majorHAnsi" w:hAnsiTheme="majorHAnsi" w:cs="Arial"/>
          <w:b/>
          <w:sz w:val="28"/>
          <w:szCs w:val="28"/>
          <w:shd w:val="clear" w:color="auto" w:fill="E6E6E6"/>
        </w:rPr>
        <w:t>Hvordan kan prosjekter på arbeid- og helse feltet innrettes for å legge til rette for forskning og evaluering av effekt av intervensjoner/tiltak?</w:t>
      </w:r>
    </w:p>
    <w:p w:rsidR="00FD1A34" w:rsidRPr="00E51C25" w:rsidRDefault="00FD1A34" w:rsidP="00FD1A3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  <w:b/>
        </w:rPr>
      </w:pPr>
      <w:r w:rsidRPr="00E51C25">
        <w:rPr>
          <w:rFonts w:ascii="Calibri" w:eastAsia="Calibri" w:hAnsi="Calibri" w:cs="Times New Roman"/>
          <w:b/>
        </w:rPr>
        <w:t>Deltakere og aktørroller i gruppa:</w:t>
      </w:r>
    </w:p>
    <w:p w:rsidR="00FD1A34" w:rsidRPr="00DC0038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Fasilitator: </w:t>
      </w:r>
      <w:r w:rsidRPr="00DC0038">
        <w:rPr>
          <w:rFonts w:ascii="Calibri" w:eastAsia="Calibri" w:hAnsi="Calibri" w:cs="Times New Roman"/>
        </w:rPr>
        <w:t>Toril Dale, Leder Innovasjon og nettverk, AiR- Nasjonalt kompetansesenter</w:t>
      </w:r>
    </w:p>
    <w:p w:rsidR="00FD1A34" w:rsidRPr="00DC0038" w:rsidRDefault="00FD1A34" w:rsidP="00FD1A34">
      <w:pPr>
        <w:spacing w:line="276" w:lineRule="auto"/>
        <w:rPr>
          <w:rFonts w:ascii="Calibri" w:eastAsia="Calibri" w:hAnsi="Calibri" w:cs="Times New Roman"/>
        </w:rPr>
      </w:pPr>
      <w:r w:rsidRPr="00DC0038">
        <w:rPr>
          <w:rFonts w:ascii="Calibri" w:eastAsia="Calibri" w:hAnsi="Calibri" w:cs="Times New Roman"/>
        </w:rPr>
        <w:t>Sigmund Gismervik, Lege/For</w:t>
      </w:r>
      <w:r>
        <w:rPr>
          <w:rFonts w:ascii="Calibri" w:eastAsia="Calibri" w:hAnsi="Calibri" w:cs="Times New Roman"/>
        </w:rPr>
        <w:t xml:space="preserve">sker,  St. Olavs Hospital/NTNU </w:t>
      </w:r>
    </w:p>
    <w:p w:rsidR="00FD1A34" w:rsidRPr="00DC0038" w:rsidRDefault="00FD1A34" w:rsidP="00FD1A34">
      <w:pPr>
        <w:spacing w:line="276" w:lineRule="auto"/>
        <w:rPr>
          <w:rFonts w:ascii="Calibri" w:eastAsia="Calibri" w:hAnsi="Calibri" w:cs="Times New Roman"/>
        </w:rPr>
      </w:pPr>
      <w:r w:rsidRPr="00DC0038">
        <w:rPr>
          <w:rFonts w:ascii="Calibri" w:eastAsia="Calibri" w:hAnsi="Calibri" w:cs="Times New Roman"/>
        </w:rPr>
        <w:t>Ragne Gunnarsdatter Hole, Gjengedal EnhetslederPoliklinikken Raskere tilbake, Voksenpsykiatrisk avdeling Vinderen, Diakonhjemmet sykehus</w:t>
      </w:r>
    </w:p>
    <w:p w:rsidR="00FD1A34" w:rsidRPr="00DC0038" w:rsidRDefault="00FD1A34" w:rsidP="00FD1A34">
      <w:pPr>
        <w:spacing w:line="276" w:lineRule="auto"/>
        <w:rPr>
          <w:rFonts w:ascii="Calibri" w:eastAsia="Calibri" w:hAnsi="Calibri" w:cs="Times New Roman"/>
        </w:rPr>
      </w:pPr>
      <w:r w:rsidRPr="00DC0038">
        <w:rPr>
          <w:rFonts w:ascii="Calibri" w:eastAsia="Calibri" w:hAnsi="Calibri" w:cs="Times New Roman"/>
        </w:rPr>
        <w:t xml:space="preserve">Asbjørn Grimsmo, Seniorforsker, Arbeidsforskningsinstituttet, Høgskolen i Oslo og Akershus </w:t>
      </w:r>
    </w:p>
    <w:p w:rsidR="00FD1A34" w:rsidRPr="00DC0038" w:rsidRDefault="00FD1A34" w:rsidP="00FD1A34">
      <w:pPr>
        <w:spacing w:line="276" w:lineRule="auto"/>
        <w:rPr>
          <w:rFonts w:ascii="Calibri" w:eastAsia="Calibri" w:hAnsi="Calibri" w:cs="Times New Roman"/>
        </w:rPr>
      </w:pPr>
      <w:r w:rsidRPr="00DC0038">
        <w:rPr>
          <w:rFonts w:ascii="Calibri" w:eastAsia="Calibri" w:hAnsi="Calibri" w:cs="Times New Roman"/>
        </w:rPr>
        <w:t>Franz Hintringer, Overlege iBedrift / UNN HF</w:t>
      </w:r>
    </w:p>
    <w:p w:rsidR="00FD1A34" w:rsidRPr="00DC0038" w:rsidRDefault="00FD1A34" w:rsidP="00FD1A34">
      <w:pPr>
        <w:spacing w:line="276" w:lineRule="auto"/>
        <w:rPr>
          <w:rFonts w:ascii="Calibri" w:eastAsia="Calibri" w:hAnsi="Calibri" w:cs="Times New Roman"/>
        </w:rPr>
      </w:pPr>
      <w:r w:rsidRPr="00DC0038">
        <w:rPr>
          <w:rFonts w:ascii="Calibri" w:eastAsia="Calibri" w:hAnsi="Calibri" w:cs="Times New Roman"/>
        </w:rPr>
        <w:t>Håkon</w:t>
      </w:r>
      <w:r>
        <w:rPr>
          <w:rFonts w:ascii="Calibri" w:eastAsia="Calibri" w:hAnsi="Calibri" w:cs="Times New Roman"/>
        </w:rPr>
        <w:t xml:space="preserve"> </w:t>
      </w:r>
      <w:r w:rsidRPr="00DC0038">
        <w:rPr>
          <w:rFonts w:ascii="Calibri" w:eastAsia="Calibri" w:hAnsi="Calibri" w:cs="Times New Roman"/>
        </w:rPr>
        <w:t>Lund, Seniorrådgiver,Helsedirektoratet</w:t>
      </w:r>
    </w:p>
    <w:p w:rsidR="00FD1A34" w:rsidRPr="00DC0038" w:rsidRDefault="00FD1A34" w:rsidP="00FD1A34">
      <w:pPr>
        <w:spacing w:line="276" w:lineRule="auto"/>
        <w:rPr>
          <w:rFonts w:ascii="Calibri" w:eastAsia="Calibri" w:hAnsi="Calibri" w:cs="Times New Roman"/>
        </w:rPr>
      </w:pPr>
      <w:r w:rsidRPr="00DC0038">
        <w:rPr>
          <w:rFonts w:ascii="Calibri" w:eastAsia="Calibri" w:hAnsi="Calibri" w:cs="Times New Roman"/>
        </w:rPr>
        <w:t xml:space="preserve">Torill Tveito Forsker Uni Research Helse </w:t>
      </w:r>
    </w:p>
    <w:p w:rsidR="00FD1A34" w:rsidRPr="00DC0038" w:rsidRDefault="00FD1A34" w:rsidP="00FD1A34">
      <w:pPr>
        <w:spacing w:line="276" w:lineRule="auto"/>
        <w:rPr>
          <w:rFonts w:ascii="Calibri" w:eastAsia="Calibri" w:hAnsi="Calibri" w:cs="Times New Roman"/>
        </w:rPr>
      </w:pPr>
      <w:r w:rsidRPr="00DC0038">
        <w:rPr>
          <w:rFonts w:ascii="Calibri" w:eastAsia="Calibri" w:hAnsi="Calibri" w:cs="Times New Roman"/>
        </w:rPr>
        <w:t>Irene Øyeflaten, Forsker AiR- Nasjonalt kompetansesenter og Uni Research Helse</w:t>
      </w:r>
    </w:p>
    <w:p w:rsidR="00FD1A34" w:rsidRPr="00DC0038" w:rsidRDefault="00FD1A34" w:rsidP="00FD1A3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  <w:noProof/>
        </w:rPr>
      </w:pPr>
      <w:r w:rsidRPr="00E51C25">
        <w:rPr>
          <w:rFonts w:ascii="Calibri" w:eastAsia="Calibri" w:hAnsi="Calibri" w:cs="Times New Roman"/>
          <w:b/>
        </w:rPr>
        <w:t>Beskriv problemet:</w:t>
      </w:r>
      <w:r w:rsidRPr="00E51C25">
        <w:rPr>
          <w:rFonts w:ascii="Calibri" w:eastAsia="Calibri" w:hAnsi="Calibri" w:cs="Times New Roman"/>
          <w:noProof/>
        </w:rPr>
        <w:t xml:space="preserve"> </w:t>
      </w:r>
    </w:p>
    <w:p w:rsidR="00FD1A34" w:rsidRPr="00DC0038" w:rsidRDefault="00FD1A34" w:rsidP="00FD1A34">
      <w:pPr>
        <w:spacing w:line="276" w:lineRule="auto"/>
        <w:rPr>
          <w:rFonts w:ascii="Calibri" w:eastAsia="Calibri" w:hAnsi="Calibri" w:cs="Times New Roman"/>
          <w:noProof/>
        </w:rPr>
      </w:pPr>
      <w:r w:rsidRPr="00DC0038">
        <w:rPr>
          <w:rFonts w:ascii="Calibri" w:eastAsia="Calibri" w:hAnsi="Calibri" w:cs="Times New Roman"/>
          <w:noProof/>
        </w:rPr>
        <w:t>Arbeids- og velferdsdirektoratet og Helsedirektoratet har startet, og vil igangsette flere større prosjekter på fagfeltet i tiden fremover.</w:t>
      </w:r>
    </w:p>
    <w:p w:rsidR="00FD1A34" w:rsidRPr="00DC0038" w:rsidRDefault="00FD1A34" w:rsidP="00FD1A34">
      <w:pPr>
        <w:spacing w:line="276" w:lineRule="auto"/>
        <w:rPr>
          <w:rFonts w:ascii="Calibri" w:eastAsia="Calibri" w:hAnsi="Calibri" w:cs="Times New Roman"/>
          <w:noProof/>
        </w:rPr>
      </w:pPr>
    </w:p>
    <w:p w:rsidR="00FD1A34" w:rsidRPr="00DC0038" w:rsidRDefault="00FD1A34" w:rsidP="00FD1A34">
      <w:pPr>
        <w:spacing w:line="276" w:lineRule="auto"/>
        <w:rPr>
          <w:rFonts w:ascii="Calibri" w:eastAsia="Calibri" w:hAnsi="Calibri" w:cs="Times New Roman"/>
          <w:noProof/>
        </w:rPr>
      </w:pPr>
      <w:r w:rsidRPr="00DC0038">
        <w:rPr>
          <w:rFonts w:ascii="Calibri" w:eastAsia="Calibri" w:hAnsi="Calibri" w:cs="Times New Roman"/>
          <w:noProof/>
        </w:rPr>
        <w:t>Basert på tidligere erfaringer, er det et sterkt behov for å innrette prosjektene slik at det legges til rette for forskning og vitenskapelig evaluering av effekten av intervensjoner og tiltak.</w:t>
      </w:r>
    </w:p>
    <w:p w:rsidR="00FD1A34" w:rsidRPr="00DC0038" w:rsidRDefault="00FD1A34" w:rsidP="00FD1A34">
      <w:pPr>
        <w:spacing w:line="276" w:lineRule="auto"/>
        <w:rPr>
          <w:rFonts w:ascii="Calibri" w:eastAsia="Calibri" w:hAnsi="Calibri" w:cs="Times New Roman"/>
          <w:noProof/>
        </w:rPr>
      </w:pPr>
    </w:p>
    <w:p w:rsidR="00FD1A34" w:rsidRPr="00DC0038" w:rsidRDefault="00FD1A34" w:rsidP="00FD1A34">
      <w:pPr>
        <w:spacing w:line="276" w:lineRule="auto"/>
        <w:rPr>
          <w:rFonts w:ascii="Calibri" w:eastAsia="Calibri" w:hAnsi="Calibri" w:cs="Times New Roman"/>
          <w:noProof/>
        </w:rPr>
      </w:pPr>
      <w:r w:rsidRPr="00DC0038">
        <w:rPr>
          <w:rFonts w:ascii="Calibri" w:eastAsia="Calibri" w:hAnsi="Calibri" w:cs="Times New Roman"/>
          <w:noProof/>
        </w:rPr>
        <w:t>Som et ledd i dette arbeidet vil vi prøve å ha en gruppe under Åpen Arena 2015 som arbeider med denne problemstillingen.</w:t>
      </w:r>
    </w:p>
    <w:p w:rsidR="00FD1A34" w:rsidRPr="00E51C25" w:rsidRDefault="00FD1A34" w:rsidP="00FD1A3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  <w:b/>
        </w:rPr>
      </w:pPr>
      <w:r w:rsidRPr="00E51C25">
        <w:rPr>
          <w:rFonts w:ascii="Calibri" w:eastAsia="Calibri" w:hAnsi="Calibri" w:cs="Times New Roman"/>
          <w:b/>
        </w:rPr>
        <w:t xml:space="preserve">Resultat (fra gruppas arbeid): </w:t>
      </w: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Gruppene startet med å avklare hva vi legger i noen av begrepene i utfordringen. </w:t>
      </w: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Hvordan kan felles myndighetsstyrte satsinger mellom arbeid og helse, med et mål eller et oppdrag, ofte med at det følger ressurser/penger med, utformes slik at man kan måle en effekt på arbeid/og eller helse.</w:t>
      </w: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Effekt i denne sammenhengen: kausalitet – et tiltak der noe fører til en ønsket endring.</w:t>
      </w: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Hvordan kommer vi fram til de gode spørsmål, som påvirker videre satsing</w:t>
      </w: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At innspill fra gruppa skal bidra til et bedre beslutningsgrunnlag for varig videre nasjonal aktivitet.</w:t>
      </w: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Modell:</w:t>
      </w: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0AEBBA8" wp14:editId="5A620BD3">
            <wp:simplePos x="0" y="0"/>
            <wp:positionH relativeFrom="margin">
              <wp:align>left</wp:align>
            </wp:positionH>
            <wp:positionV relativeFrom="paragraph">
              <wp:posOffset>103089</wp:posOffset>
            </wp:positionV>
            <wp:extent cx="5154930" cy="6873240"/>
            <wp:effectExtent l="0" t="0" r="7620" b="3810"/>
            <wp:wrapTight wrapText="bothSides">
              <wp:wrapPolygon edited="0">
                <wp:start x="0" y="0"/>
                <wp:lineTo x="0" y="21552"/>
                <wp:lineTo x="21552" y="21552"/>
                <wp:lineTo x="21552" y="0"/>
                <wp:lineTo x="0" y="0"/>
              </wp:wrapPolygon>
            </wp:wrapTight>
            <wp:docPr id="47" name="Bild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G_15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930" cy="687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</w:p>
    <w:p w:rsidR="00FD1A34" w:rsidRDefault="00FD1A34" w:rsidP="00FD1A34">
      <w:pPr>
        <w:spacing w:line="276" w:lineRule="auto"/>
        <w:rPr>
          <w:rFonts w:ascii="Calibri" w:eastAsia="Calibri" w:hAnsi="Calibri" w:cs="Times New Roman"/>
        </w:rPr>
      </w:pP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C77CA" wp14:editId="223C6DEE">
                <wp:simplePos x="0" y="0"/>
                <wp:positionH relativeFrom="column">
                  <wp:posOffset>-1161</wp:posOffset>
                </wp:positionH>
                <wp:positionV relativeFrom="paragraph">
                  <wp:posOffset>-95754</wp:posOffset>
                </wp:positionV>
                <wp:extent cx="5675587" cy="488731"/>
                <wp:effectExtent l="0" t="0" r="0" b="6985"/>
                <wp:wrapNone/>
                <wp:docPr id="48" name="Tekstbok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587" cy="488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A34" w:rsidRDefault="00FD1A34" w:rsidP="00FD1A34">
                            <w:pPr>
                              <w:spacing w:line="276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Tidslinje før og i gjennomføring av politisk prosjekt (satsning):</w:t>
                            </w:r>
                          </w:p>
                          <w:p w:rsidR="00FD1A34" w:rsidRDefault="00FD1A34" w:rsidP="00FD1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6C77CA" id="_x0000_t202" coordsize="21600,21600" o:spt="202" path="m,l,21600r21600,l21600,xe">
                <v:stroke joinstyle="miter"/>
                <v:path gradientshapeok="t" o:connecttype="rect"/>
              </v:shapetype>
              <v:shape id="Tekstboks 48" o:spid="_x0000_s1026" type="#_x0000_t202" style="position:absolute;margin-left:-.1pt;margin-top:-7.55pt;width:446.9pt;height:3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" filled="f" stroked="f" strokeweight=".5pt">
                <v:textbox>
                  <w:txbxContent>
                    <w:p w:rsidR="00FD1A34" w:rsidRDefault="00FD1A34" w:rsidP="00FD1A34">
                      <w:pPr>
                        <w:spacing w:line="276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Tidslinje før og i gjennomføring av politisk prosjekt (satsning):</w:t>
                      </w:r>
                    </w:p>
                    <w:p w:rsidR="00FD1A34" w:rsidRDefault="00FD1A34" w:rsidP="00FD1A34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03520C85" wp14:editId="7DB7019C">
            <wp:simplePos x="0" y="0"/>
            <wp:positionH relativeFrom="margin">
              <wp:align>right</wp:align>
            </wp:positionH>
            <wp:positionV relativeFrom="paragraph">
              <wp:posOffset>478243</wp:posOffset>
            </wp:positionV>
            <wp:extent cx="5818505" cy="3698240"/>
            <wp:effectExtent l="0" t="0" r="0" b="0"/>
            <wp:wrapTight wrapText="bothSides">
              <wp:wrapPolygon edited="0">
                <wp:start x="0" y="0"/>
                <wp:lineTo x="0" y="21474"/>
                <wp:lineTo x="21499" y="21474"/>
                <wp:lineTo x="21499" y="0"/>
                <wp:lineTo x="0" y="0"/>
              </wp:wrapPolygon>
            </wp:wrapTight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dslinj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70C5BFD2" wp14:editId="6D5CDFAF">
            <wp:simplePos x="0" y="0"/>
            <wp:positionH relativeFrom="margin">
              <wp:posOffset>-635</wp:posOffset>
            </wp:positionH>
            <wp:positionV relativeFrom="paragraph">
              <wp:posOffset>477520</wp:posOffset>
            </wp:positionV>
            <wp:extent cx="5777230" cy="2650490"/>
            <wp:effectExtent l="0" t="0" r="0" b="0"/>
            <wp:wrapTight wrapText="bothSides">
              <wp:wrapPolygon edited="0">
                <wp:start x="0" y="0"/>
                <wp:lineTo x="0" y="21424"/>
                <wp:lineTo x="21510" y="21424"/>
                <wp:lineTo x="21510" y="0"/>
                <wp:lineTo x="0" y="0"/>
              </wp:wrapPolygon>
            </wp:wrapTight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dslinje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060"/>
                    <a:stretch/>
                  </pic:blipFill>
                  <pic:spPr bwMode="auto">
                    <a:xfrm>
                      <a:off x="0" y="0"/>
                      <a:ext cx="5777230" cy="265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FD1A34" w:rsidRPr="000654AD" w:rsidRDefault="00FD1A34" w:rsidP="00FD1A34">
      <w:pPr>
        <w:spacing w:after="200" w:line="276" w:lineRule="auto"/>
        <w:rPr>
          <w:rFonts w:ascii="Calibri" w:eastAsia="Calibri" w:hAnsi="Calibri" w:cs="Times New Roman"/>
          <w:b/>
        </w:rPr>
      </w:pPr>
      <w:r w:rsidRPr="000654AD">
        <w:rPr>
          <w:rFonts w:ascii="Calibri" w:eastAsia="Calibri" w:hAnsi="Calibri" w:cs="Times New Roman"/>
          <w:b/>
        </w:rPr>
        <w:lastRenderedPageBreak/>
        <w:t>Hvordan skal vi få til dette?</w:t>
      </w: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 xml:space="preserve">Forarbeid: </w:t>
      </w:r>
      <w:r>
        <w:rPr>
          <w:rFonts w:ascii="Calibri" w:eastAsia="Calibri" w:hAnsi="Calibri" w:cs="Times New Roman"/>
        </w:rPr>
        <w:t xml:space="preserve">Når vi skjønner at en satsing er på gang – </w:t>
      </w:r>
      <w:r w:rsidRPr="000654AD">
        <w:rPr>
          <w:rFonts w:ascii="Calibri" w:eastAsia="Calibri" w:hAnsi="Calibri" w:cs="Times New Roman"/>
          <w:highlight w:val="yellow"/>
        </w:rPr>
        <w:t>ETABLERE EN TENKETANK</w:t>
      </w: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Gir anledning til å stoppe opp litt, kunne reflektere over om det er lurt å gjøre.</w:t>
      </w:r>
    </w:p>
    <w:p w:rsidR="00FD1A34" w:rsidRDefault="00FD1A34" w:rsidP="00FD1A34">
      <w:pPr>
        <w:pStyle w:val="Listeavsnitt"/>
        <w:numPr>
          <w:ilvl w:val="0"/>
          <w:numId w:val="1"/>
        </w:numPr>
        <w:spacing w:after="200" w:line="276" w:lineRule="auto"/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På en nøytral grunn</w:t>
      </w:r>
    </w:p>
    <w:p w:rsidR="00FD1A34" w:rsidRDefault="00FD1A34" w:rsidP="00FD1A34">
      <w:pPr>
        <w:pStyle w:val="Listeavsnitt"/>
        <w:numPr>
          <w:ilvl w:val="0"/>
          <w:numId w:val="1"/>
        </w:numPr>
        <w:spacing w:after="200" w:line="276" w:lineRule="auto"/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Invitere fra en pool av forskere, brukere og klinikere</w:t>
      </w:r>
    </w:p>
    <w:p w:rsidR="00FD1A34" w:rsidRDefault="00FD1A34" w:rsidP="00FD1A34">
      <w:pPr>
        <w:pStyle w:val="Listeavsnitt"/>
        <w:numPr>
          <w:ilvl w:val="0"/>
          <w:numId w:val="1"/>
        </w:numPr>
        <w:spacing w:after="200" w:line="276" w:lineRule="auto"/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Må finansiere, slik at forskerne får anledning til å delta</w:t>
      </w:r>
    </w:p>
    <w:p w:rsidR="00FD1A34" w:rsidRDefault="00FD1A34" w:rsidP="00FD1A34">
      <w:pPr>
        <w:pStyle w:val="Listeavsnitt"/>
        <w:numPr>
          <w:ilvl w:val="0"/>
          <w:numId w:val="1"/>
        </w:numPr>
        <w:spacing w:after="200" w:line="276" w:lineRule="auto"/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Det uformelle, kompetente rommet</w:t>
      </w:r>
    </w:p>
    <w:p w:rsidR="00FD1A34" w:rsidRDefault="00FD1A34" w:rsidP="00FD1A34">
      <w:pPr>
        <w:pStyle w:val="Listeavsnitt"/>
        <w:numPr>
          <w:ilvl w:val="0"/>
          <w:numId w:val="1"/>
        </w:numPr>
        <w:spacing w:after="200" w:line="276" w:lineRule="auto"/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Holde dialogkonferanse</w:t>
      </w: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>Når et prosjekt er besluttet:</w:t>
      </w:r>
    </w:p>
    <w:p w:rsidR="00FD1A34" w:rsidRDefault="00FD1A34" w:rsidP="00FD1A34">
      <w:pPr>
        <w:pStyle w:val="Listeavsnitt"/>
        <w:numPr>
          <w:ilvl w:val="0"/>
          <w:numId w:val="1"/>
        </w:numPr>
        <w:spacing w:after="200" w:line="276" w:lineRule="auto"/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Direktoratene har en </w:t>
      </w:r>
      <w:r w:rsidRPr="000654AD">
        <w:rPr>
          <w:rFonts w:ascii="Calibri" w:eastAsia="Calibri" w:hAnsi="Calibri" w:cs="Times New Roman"/>
          <w:highlight w:val="yellow"/>
        </w:rPr>
        <w:t>rutine for at prosjekter (som definert av gruppen) skal følges av forskning</w:t>
      </w:r>
    </w:p>
    <w:p w:rsidR="00FD1A34" w:rsidRDefault="00FD1A34" w:rsidP="00FD1A34">
      <w:pPr>
        <w:pStyle w:val="Listeavsnitt"/>
        <w:numPr>
          <w:ilvl w:val="0"/>
          <w:numId w:val="1"/>
        </w:numPr>
        <w:spacing w:after="200" w:line="276" w:lineRule="auto"/>
        <w:contextualSpacing w:val="0"/>
        <w:rPr>
          <w:rFonts w:ascii="Calibri" w:eastAsia="Calibri" w:hAnsi="Calibri" w:cs="Times New Roman"/>
        </w:rPr>
      </w:pPr>
      <w:r w:rsidRPr="000654AD">
        <w:rPr>
          <w:rFonts w:ascii="Calibri" w:eastAsia="Calibri" w:hAnsi="Calibri" w:cs="Times New Roman"/>
          <w:highlight w:val="yellow"/>
        </w:rPr>
        <w:t>Aktørene</w:t>
      </w:r>
      <w:r>
        <w:rPr>
          <w:rFonts w:ascii="Calibri" w:eastAsia="Calibri" w:hAnsi="Calibri" w:cs="Times New Roman"/>
        </w:rPr>
        <w:t xml:space="preserve"> fra de ulike områdene (helse, arbeid , tjenesteutviklere) </w:t>
      </w:r>
      <w:r w:rsidRPr="000654AD">
        <w:rPr>
          <w:rFonts w:ascii="Calibri" w:eastAsia="Calibri" w:hAnsi="Calibri" w:cs="Times New Roman"/>
          <w:highlight w:val="yellow"/>
        </w:rPr>
        <w:t>identifiseres</w:t>
      </w:r>
    </w:p>
    <w:p w:rsidR="00FD1A34" w:rsidRDefault="00FD1A34" w:rsidP="00FD1A34">
      <w:pPr>
        <w:pStyle w:val="Listeavsnitt"/>
        <w:numPr>
          <w:ilvl w:val="0"/>
          <w:numId w:val="1"/>
        </w:numPr>
        <w:spacing w:after="200" w:line="276" w:lineRule="auto"/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Utlyse med </w:t>
      </w:r>
      <w:r w:rsidRPr="000654AD">
        <w:rPr>
          <w:rFonts w:ascii="Calibri" w:eastAsia="Calibri" w:hAnsi="Calibri" w:cs="Times New Roman"/>
          <w:highlight w:val="yellow"/>
        </w:rPr>
        <w:t>forskningskontrakt</w:t>
      </w:r>
      <w:r>
        <w:rPr>
          <w:rFonts w:ascii="Calibri" w:eastAsia="Calibri" w:hAnsi="Calibri" w:cs="Times New Roman"/>
        </w:rPr>
        <w:t xml:space="preserve"> (i motsetning til konsulentkontrakt)</w:t>
      </w:r>
    </w:p>
    <w:p w:rsidR="00FD1A34" w:rsidRDefault="00FD1A34" w:rsidP="00FD1A34">
      <w:pPr>
        <w:pStyle w:val="Listeavsnitt"/>
        <w:numPr>
          <w:ilvl w:val="0"/>
          <w:numId w:val="1"/>
        </w:numPr>
        <w:spacing w:after="200" w:line="276" w:lineRule="auto"/>
        <w:contextualSpacing w:val="0"/>
        <w:rPr>
          <w:rFonts w:ascii="Calibri" w:eastAsia="Calibri" w:hAnsi="Calibri" w:cs="Times New Roman"/>
        </w:rPr>
      </w:pPr>
      <w:r w:rsidRPr="000654AD">
        <w:rPr>
          <w:rFonts w:ascii="Calibri" w:eastAsia="Calibri" w:hAnsi="Calibri" w:cs="Times New Roman"/>
          <w:highlight w:val="yellow"/>
        </w:rPr>
        <w:t>Målområdet avgrenses og defineres i dialog</w:t>
      </w:r>
      <w:r>
        <w:rPr>
          <w:rFonts w:ascii="Calibri" w:eastAsia="Calibri" w:hAnsi="Calibri" w:cs="Times New Roman"/>
        </w:rPr>
        <w:t xml:space="preserve"> m/myndigheter og forskere</w:t>
      </w:r>
    </w:p>
    <w:p w:rsidR="00FD1A34" w:rsidRDefault="00FD1A34" w:rsidP="00FD1A34">
      <w:pPr>
        <w:pStyle w:val="Listeavsnitt"/>
        <w:numPr>
          <w:ilvl w:val="0"/>
          <w:numId w:val="1"/>
        </w:numPr>
        <w:spacing w:after="200" w:line="276" w:lineRule="auto"/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Dialog mellom forskningsmiljø og myndigheter om forskningsdesign</w:t>
      </w: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Planlegging:</w:t>
      </w:r>
    </w:p>
    <w:p w:rsidR="00FD1A34" w:rsidRDefault="00FD1A34" w:rsidP="00FD1A34">
      <w:pPr>
        <w:pStyle w:val="Listeavsnitt"/>
        <w:numPr>
          <w:ilvl w:val="0"/>
          <w:numId w:val="1"/>
        </w:numPr>
        <w:spacing w:after="200" w:line="276" w:lineRule="auto"/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 utarbeidelsen av </w:t>
      </w:r>
      <w:r w:rsidRPr="000654AD">
        <w:rPr>
          <w:rFonts w:ascii="Calibri" w:eastAsia="Calibri" w:hAnsi="Calibri" w:cs="Times New Roman"/>
          <w:highlight w:val="yellow"/>
        </w:rPr>
        <w:t>prosjektplanen – spesifikk Tenketank aktiveres</w:t>
      </w:r>
      <w:r>
        <w:rPr>
          <w:rFonts w:ascii="Calibri" w:eastAsia="Calibri" w:hAnsi="Calibri" w:cs="Times New Roman"/>
        </w:rPr>
        <w:t>.</w:t>
      </w:r>
    </w:p>
    <w:p w:rsidR="00FD1A34" w:rsidRDefault="00FD1A34" w:rsidP="00FD1A34">
      <w:pPr>
        <w:pStyle w:val="Listeavsnitt"/>
        <w:numPr>
          <w:ilvl w:val="1"/>
          <w:numId w:val="1"/>
        </w:numPr>
        <w:spacing w:after="200" w:line="276" w:lineRule="auto"/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Hentes fra den store Tenketanken. Dersom man som forskningsmiljø ser at man er interessert i en eventuell evaluering, melder man fra og deltar ikke i denne delen av prosessen.</w:t>
      </w:r>
    </w:p>
    <w:p w:rsidR="00FD1A34" w:rsidRDefault="00FD1A34" w:rsidP="00FD1A34">
      <w:pPr>
        <w:pStyle w:val="Listeavsnitt"/>
        <w:numPr>
          <w:ilvl w:val="1"/>
          <w:numId w:val="1"/>
        </w:numPr>
        <w:spacing w:after="200" w:line="276" w:lineRule="auto"/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Ledere og klinikere med i tenketankene som øker kompetansen på hvordan vi kan innrette tjenestene våres slik at det kliniske kan bli forskbart.</w:t>
      </w:r>
    </w:p>
    <w:p w:rsidR="00FD1A34" w:rsidRDefault="00FD1A34" w:rsidP="00FD1A34">
      <w:pPr>
        <w:pStyle w:val="Listeavsnitt"/>
        <w:numPr>
          <w:ilvl w:val="1"/>
          <w:numId w:val="1"/>
        </w:numPr>
        <w:spacing w:after="200" w:line="276" w:lineRule="auto"/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Representanter fra IA, partene i arbeidslivet.</w:t>
      </w: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Implementeringsfasen</w:t>
      </w:r>
    </w:p>
    <w:p w:rsidR="00FD1A34" w:rsidRDefault="00FD1A34" w:rsidP="00FD1A34">
      <w:pPr>
        <w:pStyle w:val="Listeavsnitt"/>
        <w:numPr>
          <w:ilvl w:val="0"/>
          <w:numId w:val="1"/>
        </w:numPr>
        <w:spacing w:after="200" w:line="276" w:lineRule="auto"/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Etablere </w:t>
      </w:r>
      <w:r w:rsidRPr="000654AD">
        <w:rPr>
          <w:rFonts w:ascii="Calibri" w:eastAsia="Calibri" w:hAnsi="Calibri" w:cs="Times New Roman"/>
          <w:highlight w:val="yellow"/>
        </w:rPr>
        <w:t>lærende nettverk</w:t>
      </w:r>
    </w:p>
    <w:p w:rsidR="00FD1A34" w:rsidRDefault="00FD1A34" w:rsidP="00FD1A34">
      <w:pPr>
        <w:pStyle w:val="Listeavsnitt"/>
        <w:numPr>
          <w:ilvl w:val="0"/>
          <w:numId w:val="1"/>
        </w:numPr>
        <w:spacing w:after="200" w:line="276" w:lineRule="auto"/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Foreta </w:t>
      </w:r>
      <w:r w:rsidRPr="000654AD">
        <w:rPr>
          <w:rFonts w:ascii="Calibri" w:eastAsia="Calibri" w:hAnsi="Calibri" w:cs="Times New Roman"/>
          <w:highlight w:val="yellow"/>
        </w:rPr>
        <w:t>lærende evaluering</w:t>
      </w:r>
      <w:r>
        <w:rPr>
          <w:rFonts w:ascii="Calibri" w:eastAsia="Calibri" w:hAnsi="Calibri" w:cs="Times New Roman"/>
        </w:rPr>
        <w:t xml:space="preserve"> underveis</w:t>
      </w:r>
    </w:p>
    <w:p w:rsidR="00FD1A34" w:rsidRPr="005041F7" w:rsidRDefault="00FD1A34" w:rsidP="00FD1A34">
      <w:pPr>
        <w:pStyle w:val="Listeavsnitt"/>
        <w:numPr>
          <w:ilvl w:val="0"/>
          <w:numId w:val="1"/>
        </w:numPr>
        <w:spacing w:after="200" w:line="276" w:lineRule="auto"/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Problemstilling at endring= forutsetning for kvalitet. Stabilitet som grunnlag for god forskning</w:t>
      </w:r>
      <w:r w:rsidRPr="005041F7">
        <w:rPr>
          <w:rFonts w:ascii="Calibri" w:eastAsia="Calibri" w:hAnsi="Calibri" w:cs="Times New Roman"/>
        </w:rPr>
        <w:t xml:space="preserve"> </w:t>
      </w:r>
    </w:p>
    <w:p w:rsidR="00FD1A34" w:rsidRPr="00E51C25" w:rsidRDefault="00FD1A34" w:rsidP="00FD1A3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FD1A34" w:rsidRPr="00E51C25" w:rsidRDefault="00FD1A34" w:rsidP="00FD1A34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Konkrete innspill til neste skritt i</w:t>
      </w:r>
      <w:r w:rsidRPr="00E51C25">
        <w:rPr>
          <w:rFonts w:ascii="Calibri" w:eastAsia="Calibri" w:hAnsi="Calibri" w:cs="Times New Roman"/>
          <w:b/>
        </w:rPr>
        <w:t xml:space="preserve"> arbeid</w:t>
      </w:r>
      <w:r>
        <w:rPr>
          <w:rFonts w:ascii="Calibri" w:eastAsia="Calibri" w:hAnsi="Calibri" w:cs="Times New Roman"/>
          <w:b/>
        </w:rPr>
        <w:t>et med utfordringen</w:t>
      </w:r>
      <w:r w:rsidRPr="00E51C25">
        <w:rPr>
          <w:rFonts w:ascii="Calibri" w:eastAsia="Calibri" w:hAnsi="Calibri" w:cs="Times New Roman"/>
          <w:b/>
        </w:rPr>
        <w:t>:</w:t>
      </w: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H-dir og AV-dir oppnevner arbeidsgruppe for forskning og evaluering i konsept I-bedrift-</w:t>
      </w: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Hver og en av gruppemedlemmene tar med tilbake og informerer/deler med kollegaer, det man har opplevd og lært/drøftet i gruppe 1E-1</w:t>
      </w: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Håkon forsøker å «selge inn» Tenketanken som tiltak i Lystad/Guldvog samarbeidet</w:t>
      </w:r>
    </w:p>
    <w:p w:rsidR="00FD1A34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Spille inn til de to direktoratene forslag om at det etableres en rutine for innvolvering av forskning i større prosjekt</w:t>
      </w:r>
    </w:p>
    <w:p w:rsidR="00FD1A34" w:rsidRPr="00B8536E" w:rsidRDefault="00FD1A34" w:rsidP="00FD1A3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Vi anbefaler at det settes av en fast andel av prosjektbudsjett (f.eks 10%) til forskning</w:t>
      </w:r>
    </w:p>
    <w:p w:rsidR="00FD1A34" w:rsidRPr="00E51C25" w:rsidRDefault="00FD1A34" w:rsidP="00FD1A3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FD1A34" w:rsidRPr="00FA65BC" w:rsidRDefault="00FD1A34" w:rsidP="00FD1A34">
      <w:pPr>
        <w:tabs>
          <w:tab w:val="left" w:pos="1180"/>
        </w:tabs>
        <w:spacing w:before="19"/>
        <w:rPr>
          <w:rFonts w:eastAsia="Arial" w:cs="Arial"/>
          <w:sz w:val="28"/>
          <w:szCs w:val="28"/>
        </w:rPr>
      </w:pPr>
    </w:p>
    <w:p w:rsidR="00FD1A34" w:rsidRDefault="00FD1A34" w:rsidP="00FD1A34">
      <w:pPr>
        <w:rPr>
          <w:rFonts w:ascii="Calibri" w:eastAsia="Calibri" w:hAnsi="Calibri" w:cs="Times New Roman"/>
          <w:b/>
          <w:sz w:val="44"/>
        </w:rPr>
      </w:pPr>
      <w:r>
        <w:rPr>
          <w:rFonts w:ascii="Calibri" w:eastAsia="Calibri" w:hAnsi="Calibri" w:cs="Times New Roman"/>
          <w:b/>
          <w:sz w:val="44"/>
        </w:rPr>
        <w:br w:type="page"/>
      </w:r>
    </w:p>
    <w:p w:rsidR="008F157A" w:rsidRPr="00FD1A34" w:rsidRDefault="008F157A" w:rsidP="00FD1A34">
      <w:bookmarkStart w:id="0" w:name="_GoBack"/>
      <w:bookmarkEnd w:id="0"/>
    </w:p>
    <w:sectPr w:rsidR="008F157A" w:rsidRPr="00FD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12881"/>
    <w:multiLevelType w:val="hybridMultilevel"/>
    <w:tmpl w:val="7E7E4CBC"/>
    <w:lvl w:ilvl="0" w:tplc="43B003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34"/>
    <w:rsid w:val="008F157A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B56AD-EE94-4ED8-A967-1A0270AD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A34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616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 Dale</dc:creator>
  <cp:keywords/>
  <dc:description/>
  <cp:lastModifiedBy>Toril Dale</cp:lastModifiedBy>
  <cp:revision>1</cp:revision>
  <dcterms:created xsi:type="dcterms:W3CDTF">2015-01-21T10:45:00Z</dcterms:created>
  <dcterms:modified xsi:type="dcterms:W3CDTF">2015-01-21T10:46:00Z</dcterms:modified>
</cp:coreProperties>
</file>